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9C52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en-US"/>
        </w:rPr>
      </w:pPr>
    </w:p>
    <w:p w14:paraId="0D4B21F5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en-US"/>
        </w:rPr>
      </w:pPr>
    </w:p>
    <w:p w14:paraId="7744DBA5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en-US"/>
        </w:rPr>
      </w:pPr>
    </w:p>
    <w:p w14:paraId="4E9F0848" w14:textId="0780E7AF" w:rsidR="006210A5" w:rsidRPr="00A3436D" w:rsidRDefault="00EA271D" w:rsidP="00EB16D1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en-US"/>
        </w:rPr>
      </w:pPr>
      <w:r w:rsidRPr="00A3436D">
        <w:rPr>
          <w:b/>
          <w:sz w:val="26"/>
          <w:szCs w:val="26"/>
          <w:lang w:val="en-US"/>
        </w:rPr>
        <w:t>Disclosure of Commissions &amp; Management Fees</w:t>
      </w:r>
    </w:p>
    <w:p w14:paraId="61AA71AC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4AFCE1F1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085A6CBB" w14:textId="77777777" w:rsidR="00395ED1" w:rsidRDefault="00395ED1" w:rsidP="00EB16D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12AEF111" w14:textId="77777777" w:rsidR="007F009D" w:rsidRPr="00EA271D" w:rsidRDefault="00EA271D" w:rsidP="007F009D">
      <w:pPr>
        <w:pStyle w:val="NormalWeb"/>
        <w:spacing w:before="0" w:beforeAutospacing="0" w:after="0" w:afterAutospacing="0" w:line="360" w:lineRule="auto"/>
        <w:rPr>
          <w:b/>
          <w:u w:val="single"/>
          <w:lang w:val="en-US"/>
        </w:rPr>
      </w:pPr>
      <w:r w:rsidRPr="00EA271D">
        <w:rPr>
          <w:b/>
          <w:u w:val="single"/>
          <w:lang w:val="en-US"/>
        </w:rPr>
        <w:t>Management Fees</w:t>
      </w:r>
    </w:p>
    <w:p w14:paraId="5C62E048" w14:textId="462C567D" w:rsidR="00525A6E" w:rsidRPr="001A752A" w:rsidRDefault="006210A5" w:rsidP="00525A6E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1A752A">
        <w:rPr>
          <w:lang w:val="en-US"/>
        </w:rPr>
        <w:t>$</w:t>
      </w:r>
      <w:r w:rsidR="004A2B4F">
        <w:rPr>
          <w:lang w:val="en-US"/>
        </w:rPr>
        <w:t xml:space="preserve">15.00 monthly </w:t>
      </w:r>
      <w:r w:rsidR="001A752A" w:rsidRPr="001A752A">
        <w:rPr>
          <w:lang w:val="en-US"/>
        </w:rPr>
        <w:t>account maintenance</w:t>
      </w:r>
      <w:r w:rsidR="00A82B67">
        <w:rPr>
          <w:lang w:val="en-US"/>
        </w:rPr>
        <w:t xml:space="preserve"> and </w:t>
      </w:r>
      <w:r w:rsidR="0021410F">
        <w:rPr>
          <w:lang w:val="en-US"/>
        </w:rPr>
        <w:t>service</w:t>
      </w:r>
      <w:r w:rsidR="004A2B4F">
        <w:rPr>
          <w:lang w:val="en-US"/>
        </w:rPr>
        <w:t xml:space="preserve"> fee</w:t>
      </w:r>
      <w:r w:rsidR="0021410F">
        <w:rPr>
          <w:lang w:val="en-US"/>
        </w:rPr>
        <w:t>.</w:t>
      </w:r>
      <w:r w:rsidR="00BD15D2">
        <w:rPr>
          <w:lang w:val="en-US"/>
        </w:rPr>
        <w:t xml:space="preserve">  </w:t>
      </w:r>
      <w:r w:rsidR="007D1369">
        <w:rPr>
          <w:lang w:val="en-US"/>
        </w:rPr>
        <w:t>Retirement</w:t>
      </w:r>
      <w:r w:rsidR="006936EA">
        <w:rPr>
          <w:lang w:val="en-US"/>
        </w:rPr>
        <w:t xml:space="preserve"> Accounts such as Traditional/</w:t>
      </w:r>
      <w:r w:rsidR="007D1369">
        <w:rPr>
          <w:lang w:val="en-US"/>
        </w:rPr>
        <w:t>Roth IRAs, have an</w:t>
      </w:r>
      <w:r w:rsidR="004A2B4F">
        <w:rPr>
          <w:lang w:val="en-US"/>
        </w:rPr>
        <w:t xml:space="preserve"> additional</w:t>
      </w:r>
      <w:r w:rsidR="007D1369">
        <w:rPr>
          <w:lang w:val="en-US"/>
        </w:rPr>
        <w:t xml:space="preserve"> annual service by our</w:t>
      </w:r>
      <w:r w:rsidR="00921CE6">
        <w:rPr>
          <w:lang w:val="en-US"/>
        </w:rPr>
        <w:t xml:space="preserve"> custodian Wedbush Securities (</w:t>
      </w:r>
      <w:r w:rsidR="006936EA">
        <w:rPr>
          <w:lang w:val="en-US"/>
        </w:rPr>
        <w:t>Currently</w:t>
      </w:r>
      <w:r w:rsidR="00C576E0">
        <w:rPr>
          <w:lang w:val="en-US"/>
        </w:rPr>
        <w:t xml:space="preserve"> $35.00</w:t>
      </w:r>
      <w:r w:rsidR="00921CE6">
        <w:rPr>
          <w:lang w:val="en-US"/>
        </w:rPr>
        <w:t>)</w:t>
      </w:r>
      <w:r w:rsidR="00C576E0">
        <w:rPr>
          <w:lang w:val="en-US"/>
        </w:rPr>
        <w:t>.</w:t>
      </w:r>
    </w:p>
    <w:p w14:paraId="58431275" w14:textId="77777777" w:rsidR="006210A5" w:rsidRDefault="001A752A" w:rsidP="00525A6E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1A752A">
        <w:rPr>
          <w:lang w:val="en-US"/>
        </w:rPr>
        <w:t xml:space="preserve">$20.00 </w:t>
      </w:r>
      <w:r w:rsidR="00C9503E" w:rsidRPr="001A752A">
        <w:rPr>
          <w:lang w:val="en-US"/>
        </w:rPr>
        <w:t>USD</w:t>
      </w:r>
      <w:r w:rsidR="00C9503E">
        <w:rPr>
          <w:lang w:val="en-US"/>
        </w:rPr>
        <w:t xml:space="preserve"> per </w:t>
      </w:r>
      <w:r>
        <w:rPr>
          <w:lang w:val="en-US"/>
        </w:rPr>
        <w:t>domestic wire transfer</w:t>
      </w:r>
      <w:r w:rsidR="006936EA">
        <w:rPr>
          <w:lang w:val="en-US"/>
        </w:rPr>
        <w:t xml:space="preserve"> (within U.S.</w:t>
      </w:r>
      <w:r w:rsidR="000B4BD5">
        <w:rPr>
          <w:lang w:val="en-US"/>
        </w:rPr>
        <w:t xml:space="preserve">) </w:t>
      </w:r>
      <w:r w:rsidR="00C9503E">
        <w:rPr>
          <w:lang w:val="en-US"/>
        </w:rPr>
        <w:t>&amp; $</w:t>
      </w:r>
      <w:r w:rsidR="006210A5" w:rsidRPr="001A752A">
        <w:rPr>
          <w:lang w:val="en-US"/>
        </w:rPr>
        <w:t xml:space="preserve">25.00 USD </w:t>
      </w:r>
      <w:r w:rsidR="00C9503E">
        <w:rPr>
          <w:lang w:val="en-US"/>
        </w:rPr>
        <w:t>per</w:t>
      </w:r>
      <w:r>
        <w:rPr>
          <w:lang w:val="en-US"/>
        </w:rPr>
        <w:t xml:space="preserve"> international wire transfer</w:t>
      </w:r>
      <w:r w:rsidRPr="001A752A">
        <w:rPr>
          <w:lang w:val="en-US"/>
        </w:rPr>
        <w:t>.</w:t>
      </w:r>
    </w:p>
    <w:p w14:paraId="2027E65A" w14:textId="77777777" w:rsidR="001A752A" w:rsidRPr="001A752A" w:rsidRDefault="001A752A" w:rsidP="00525A6E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1A752A">
        <w:rPr>
          <w:lang w:val="en-US"/>
        </w:rPr>
        <w:t>$95.00 USD for transfer of investment assets through ACAT.</w:t>
      </w:r>
    </w:p>
    <w:p w14:paraId="35BCC7FD" w14:textId="77777777" w:rsidR="00525A6E" w:rsidRDefault="006210A5" w:rsidP="00EB16D1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21410F">
        <w:rPr>
          <w:lang w:val="en-US"/>
        </w:rPr>
        <w:t xml:space="preserve">$7.00 USD </w:t>
      </w:r>
      <w:r w:rsidR="0021410F" w:rsidRPr="0021410F">
        <w:rPr>
          <w:lang w:val="en-US"/>
        </w:rPr>
        <w:t>Monthly charge for</w:t>
      </w:r>
      <w:r w:rsidR="0021410F">
        <w:rPr>
          <w:lang w:val="en-US"/>
        </w:rPr>
        <w:t xml:space="preserve"> service</w:t>
      </w:r>
      <w:r w:rsidR="0021410F" w:rsidRPr="0021410F">
        <w:rPr>
          <w:lang w:val="en-US"/>
        </w:rPr>
        <w:t xml:space="preserve"> of checking </w:t>
      </w:r>
      <w:r w:rsidR="0021410F">
        <w:rPr>
          <w:lang w:val="en-US"/>
        </w:rPr>
        <w:t>account and debit card.</w:t>
      </w:r>
    </w:p>
    <w:p w14:paraId="2650FEB7" w14:textId="77777777" w:rsidR="00EB16D1" w:rsidRPr="00EB16D1" w:rsidRDefault="00EB16D1" w:rsidP="00EB16D1">
      <w:pPr>
        <w:pStyle w:val="NormalWeb"/>
        <w:spacing w:before="0" w:beforeAutospacing="0" w:after="0" w:afterAutospacing="0"/>
        <w:ind w:left="720"/>
        <w:rPr>
          <w:lang w:val="en-US"/>
        </w:rPr>
      </w:pPr>
    </w:p>
    <w:p w14:paraId="0C48891A" w14:textId="77777777" w:rsidR="007F009D" w:rsidRPr="00EA271D" w:rsidRDefault="000B4BD5" w:rsidP="007F009D">
      <w:pPr>
        <w:pStyle w:val="NormalWeb"/>
        <w:spacing w:before="0" w:beforeAutospacing="0" w:after="0" w:afterAutospacing="0"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Equities</w:t>
      </w:r>
      <w:r w:rsidR="00FA461D">
        <w:rPr>
          <w:b/>
          <w:u w:val="single"/>
          <w:lang w:val="en-US"/>
        </w:rPr>
        <w:t xml:space="preserve"> Trading</w:t>
      </w:r>
    </w:p>
    <w:p w14:paraId="55C05D05" w14:textId="464CE860" w:rsidR="00EB16D1" w:rsidRPr="00EB16D1" w:rsidRDefault="001651D0" w:rsidP="00EB16D1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271573">
        <w:rPr>
          <w:lang w:val="en-US"/>
        </w:rPr>
        <w:t>$ 0.1</w:t>
      </w:r>
      <w:r w:rsidR="00F172B1">
        <w:rPr>
          <w:lang w:val="en-US"/>
        </w:rPr>
        <w:t>8</w:t>
      </w:r>
      <w:r w:rsidRPr="00271573">
        <w:rPr>
          <w:lang w:val="en-US"/>
        </w:rPr>
        <w:t xml:space="preserve"> USD per share for stock transactions. </w:t>
      </w:r>
      <w:r>
        <w:rPr>
          <w:lang w:val="en-US"/>
        </w:rPr>
        <w:t xml:space="preserve"> If the price of the stock is less than $5.00, the commission will be determined after an analysis of liqui</w:t>
      </w:r>
      <w:r w:rsidR="00E77F21">
        <w:rPr>
          <w:lang w:val="en-US"/>
        </w:rPr>
        <w:t>dity, availability, amount to</w:t>
      </w:r>
      <w:r>
        <w:rPr>
          <w:lang w:val="en-US"/>
        </w:rPr>
        <w:t xml:space="preserve"> trade, and any additional factors that will be discussed with the client prior to entering the trade.</w:t>
      </w:r>
    </w:p>
    <w:p w14:paraId="4FBD79F5" w14:textId="77777777" w:rsidR="00EB16D1" w:rsidRDefault="00EB16D1" w:rsidP="00EB16D1">
      <w:pPr>
        <w:pStyle w:val="NormalWeb"/>
        <w:spacing w:before="0" w:beforeAutospacing="0" w:after="0" w:afterAutospacing="0"/>
        <w:rPr>
          <w:b/>
          <w:u w:val="single"/>
          <w:lang w:val="en-US"/>
        </w:rPr>
      </w:pPr>
    </w:p>
    <w:p w14:paraId="32FC907C" w14:textId="77777777" w:rsidR="007F009D" w:rsidRPr="007F009D" w:rsidRDefault="000B4BD5" w:rsidP="007F009D">
      <w:pPr>
        <w:pStyle w:val="NormalWeb"/>
        <w:spacing w:before="0" w:beforeAutospacing="0" w:after="0" w:afterAutospacing="0" w:line="360" w:lineRule="auto"/>
        <w:rPr>
          <w:b/>
          <w:u w:val="single"/>
          <w:lang w:val="en-US"/>
        </w:rPr>
      </w:pPr>
      <w:r w:rsidRPr="00EB16D1">
        <w:rPr>
          <w:b/>
          <w:u w:val="single"/>
          <w:lang w:val="en-US"/>
        </w:rPr>
        <w:t>Options Trading</w:t>
      </w:r>
    </w:p>
    <w:p w14:paraId="1E3FAEC7" w14:textId="77777777" w:rsidR="00D018B7" w:rsidRDefault="00D018B7" w:rsidP="00525A6E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On Selling PUTs or CALLs to OPEN</w:t>
      </w:r>
    </w:p>
    <w:p w14:paraId="0C20D7F2" w14:textId="0ECD871B" w:rsidR="00D018B7" w:rsidRDefault="00D018B7" w:rsidP="00525A6E">
      <w:pPr>
        <w:pStyle w:val="NormalWeb"/>
        <w:spacing w:before="0" w:beforeAutospacing="0" w:after="0" w:afterAutospacing="0"/>
        <w:rPr>
          <w:lang w:val="en-US"/>
        </w:rPr>
      </w:pPr>
      <w:r w:rsidRPr="0021410F">
        <w:rPr>
          <w:lang w:val="en-US"/>
        </w:rPr>
        <w:t>$1</w:t>
      </w:r>
      <w:r w:rsidR="00F172B1">
        <w:rPr>
          <w:lang w:val="en-US"/>
        </w:rPr>
        <w:t>8</w:t>
      </w:r>
      <w:r w:rsidRPr="0021410F">
        <w:rPr>
          <w:lang w:val="en-US"/>
        </w:rPr>
        <w:t xml:space="preserve">.00 USD </w:t>
      </w:r>
      <w:r>
        <w:rPr>
          <w:lang w:val="en-US"/>
        </w:rPr>
        <w:t>per option contract</w:t>
      </w:r>
    </w:p>
    <w:p w14:paraId="6309159C" w14:textId="77777777" w:rsidR="00D018B7" w:rsidRDefault="00D018B7" w:rsidP="00525A6E">
      <w:pPr>
        <w:pStyle w:val="NormalWeb"/>
        <w:spacing w:before="0" w:beforeAutospacing="0" w:after="0" w:afterAutospacing="0"/>
        <w:rPr>
          <w:lang w:val="en-US"/>
        </w:rPr>
      </w:pPr>
    </w:p>
    <w:p w14:paraId="6E8EF270" w14:textId="77777777" w:rsidR="00D018B7" w:rsidRDefault="00D018B7" w:rsidP="00525A6E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On Buying PUTs or CALLs to CLOSE</w:t>
      </w:r>
    </w:p>
    <w:p w14:paraId="7CF79AAF" w14:textId="03D00A55" w:rsidR="00D018B7" w:rsidRDefault="00D018B7" w:rsidP="00525A6E">
      <w:pPr>
        <w:pStyle w:val="NormalWeb"/>
        <w:spacing w:before="0" w:beforeAutospacing="0" w:after="0" w:afterAutospacing="0"/>
        <w:rPr>
          <w:lang w:val="en-US"/>
        </w:rPr>
      </w:pPr>
      <w:r w:rsidRPr="0021410F">
        <w:rPr>
          <w:lang w:val="en-US"/>
        </w:rPr>
        <w:t>$1</w:t>
      </w:r>
      <w:r w:rsidR="00F172B1">
        <w:rPr>
          <w:lang w:val="en-US"/>
        </w:rPr>
        <w:t>8</w:t>
      </w:r>
      <w:r w:rsidRPr="0021410F">
        <w:rPr>
          <w:lang w:val="en-US"/>
        </w:rPr>
        <w:t xml:space="preserve">.00 USD </w:t>
      </w:r>
      <w:r>
        <w:rPr>
          <w:lang w:val="en-US"/>
        </w:rPr>
        <w:t xml:space="preserve">per option contract </w:t>
      </w:r>
      <w:r>
        <w:rPr>
          <w:lang w:val="en-US"/>
        </w:rPr>
        <w:tab/>
      </w:r>
    </w:p>
    <w:p w14:paraId="41F63046" w14:textId="77777777" w:rsidR="00D018B7" w:rsidRDefault="00D018B7" w:rsidP="00525A6E">
      <w:pPr>
        <w:pStyle w:val="NormalWeb"/>
        <w:spacing w:before="0" w:beforeAutospacing="0" w:after="0" w:afterAutospacing="0"/>
        <w:rPr>
          <w:lang w:val="en-US"/>
        </w:rPr>
      </w:pPr>
    </w:p>
    <w:p w14:paraId="1D5672D7" w14:textId="77777777" w:rsidR="00525A6E" w:rsidRDefault="00525A6E" w:rsidP="00525A6E">
      <w:pPr>
        <w:pStyle w:val="NormalWeb"/>
        <w:spacing w:before="0" w:beforeAutospacing="0" w:after="0" w:afterAutospacing="0"/>
        <w:rPr>
          <w:b/>
          <w:u w:val="single"/>
          <w:lang w:val="en-US"/>
        </w:rPr>
      </w:pPr>
    </w:p>
    <w:p w14:paraId="18806C23" w14:textId="77777777" w:rsidR="007F009D" w:rsidRDefault="00525A6E" w:rsidP="007F009D">
      <w:pPr>
        <w:pStyle w:val="NormalWeb"/>
        <w:spacing w:before="0" w:beforeAutospacing="0" w:after="0" w:afterAutospacing="0" w:line="360" w:lineRule="auto"/>
        <w:rPr>
          <w:b/>
          <w:u w:val="single"/>
          <w:lang w:val="en-US"/>
        </w:rPr>
      </w:pPr>
      <w:r w:rsidRPr="00EA271D">
        <w:rPr>
          <w:b/>
          <w:u w:val="single"/>
          <w:lang w:val="en-US"/>
        </w:rPr>
        <w:t xml:space="preserve">Options </w:t>
      </w:r>
      <w:r w:rsidR="00EB16D1">
        <w:rPr>
          <w:b/>
          <w:u w:val="single"/>
          <w:lang w:val="en-US"/>
        </w:rPr>
        <w:t>Assignment</w:t>
      </w:r>
    </w:p>
    <w:p w14:paraId="11C13FE0" w14:textId="7CB0E78C" w:rsidR="00525A6E" w:rsidRPr="00525A6E" w:rsidRDefault="00254187" w:rsidP="00525A6E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u w:val="single"/>
          <w:lang w:val="en-US"/>
        </w:rPr>
      </w:pPr>
      <w:r w:rsidRPr="0021410F">
        <w:rPr>
          <w:lang w:val="en-US"/>
        </w:rPr>
        <w:t>$</w:t>
      </w:r>
      <w:r>
        <w:rPr>
          <w:lang w:val="en-US"/>
        </w:rPr>
        <w:t>0.1</w:t>
      </w:r>
      <w:r w:rsidR="002A7659">
        <w:rPr>
          <w:lang w:val="en-US"/>
        </w:rPr>
        <w:t>8</w:t>
      </w:r>
      <w:r w:rsidRPr="0021410F">
        <w:rPr>
          <w:lang w:val="en-US"/>
        </w:rPr>
        <w:t xml:space="preserve"> USD per </w:t>
      </w:r>
      <w:r>
        <w:rPr>
          <w:lang w:val="en-US"/>
        </w:rPr>
        <w:t>share assigned (buy/sell)</w:t>
      </w:r>
      <w:r w:rsidRPr="0021410F">
        <w:rPr>
          <w:lang w:val="en-US"/>
        </w:rPr>
        <w:t xml:space="preserve"> + $20.00 USD per transaction </w:t>
      </w:r>
      <w:r>
        <w:rPr>
          <w:lang w:val="en-US"/>
        </w:rPr>
        <w:t>for exercised options.</w:t>
      </w:r>
    </w:p>
    <w:p w14:paraId="340E3CC9" w14:textId="77777777" w:rsidR="00395ED1" w:rsidRDefault="00395ED1" w:rsidP="00525A6E">
      <w:pPr>
        <w:pStyle w:val="NormalWeb"/>
        <w:spacing w:before="0" w:beforeAutospacing="0" w:after="0" w:afterAutospacing="0"/>
        <w:rPr>
          <w:b/>
          <w:u w:val="single"/>
          <w:lang w:val="en-US"/>
        </w:rPr>
      </w:pPr>
    </w:p>
    <w:p w14:paraId="2F6895F7" w14:textId="77777777" w:rsidR="00395ED1" w:rsidRPr="00A3436D" w:rsidRDefault="00395ED1" w:rsidP="00525A6E">
      <w:pPr>
        <w:pStyle w:val="NormalWeb"/>
        <w:spacing w:before="0" w:beforeAutospacing="0" w:after="0" w:afterAutospacing="0"/>
        <w:rPr>
          <w:b/>
          <w:u w:val="single"/>
          <w:lang w:val="en-US"/>
        </w:rPr>
      </w:pPr>
    </w:p>
    <w:p w14:paraId="7A149C8A" w14:textId="77777777" w:rsidR="00525A6E" w:rsidRPr="00A3436D" w:rsidRDefault="00EA271D" w:rsidP="007F009D">
      <w:pPr>
        <w:pStyle w:val="NormalWeb"/>
        <w:spacing w:before="0" w:beforeAutospacing="0" w:after="0" w:afterAutospacing="0" w:line="360" w:lineRule="auto"/>
        <w:rPr>
          <w:b/>
          <w:u w:val="single"/>
          <w:lang w:val="en-US"/>
        </w:rPr>
      </w:pPr>
      <w:r w:rsidRPr="00A3436D">
        <w:rPr>
          <w:b/>
          <w:u w:val="single"/>
          <w:lang w:val="en-US"/>
        </w:rPr>
        <w:t>Other Investment Products</w:t>
      </w:r>
    </w:p>
    <w:p w14:paraId="03C65A6A" w14:textId="77777777" w:rsidR="007F009D" w:rsidRDefault="00E144BB" w:rsidP="00A3436D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>Additional i</w:t>
      </w:r>
      <w:r w:rsidR="00E71817" w:rsidRPr="00525A6E">
        <w:rPr>
          <w:lang w:val="en-US"/>
        </w:rPr>
        <w:t>nvestments such as Mutual Funds, Bonds</w:t>
      </w:r>
      <w:r w:rsidR="009A27E8">
        <w:rPr>
          <w:lang w:val="en-US"/>
        </w:rPr>
        <w:t>, US Treasuries</w:t>
      </w:r>
      <w:r>
        <w:rPr>
          <w:lang w:val="en-US"/>
        </w:rPr>
        <w:t xml:space="preserve"> &amp; </w:t>
      </w:r>
      <w:proofErr w:type="gramStart"/>
      <w:r>
        <w:rPr>
          <w:lang w:val="en-US"/>
        </w:rPr>
        <w:t>ETF’s</w:t>
      </w:r>
      <w:proofErr w:type="gramEnd"/>
      <w:r>
        <w:rPr>
          <w:lang w:val="en-US"/>
        </w:rPr>
        <w:t xml:space="preserve"> are subject to </w:t>
      </w:r>
      <w:r w:rsidR="009A27E8">
        <w:rPr>
          <w:lang w:val="en-US"/>
        </w:rPr>
        <w:t>fees, mark-ups, mark-downs,</w:t>
      </w:r>
      <w:r w:rsidR="00E71817" w:rsidRPr="00525A6E">
        <w:rPr>
          <w:lang w:val="en-US"/>
        </w:rPr>
        <w:t xml:space="preserve"> and/or commissions in accordance to industry standards.  </w:t>
      </w:r>
      <w:r w:rsidR="009A27E8">
        <w:rPr>
          <w:lang w:val="en-US"/>
        </w:rPr>
        <w:t>Factors including but not limited to type of security, availability, price,</w:t>
      </w:r>
      <w:r w:rsidR="00E71817" w:rsidRPr="00A3436D">
        <w:rPr>
          <w:lang w:val="en-US"/>
        </w:rPr>
        <w:t xml:space="preserve"> </w:t>
      </w:r>
      <w:r w:rsidR="009A27E8">
        <w:rPr>
          <w:lang w:val="en-US"/>
        </w:rPr>
        <w:t xml:space="preserve">and </w:t>
      </w:r>
      <w:r w:rsidR="00E71817" w:rsidRPr="00A3436D">
        <w:rPr>
          <w:lang w:val="en-US"/>
        </w:rPr>
        <w:t>amount of money involved</w:t>
      </w:r>
      <w:r w:rsidR="009A27E8">
        <w:rPr>
          <w:lang w:val="en-US"/>
        </w:rPr>
        <w:t>,</w:t>
      </w:r>
      <w:r w:rsidR="00E71817" w:rsidRPr="00A3436D">
        <w:rPr>
          <w:lang w:val="en-US"/>
        </w:rPr>
        <w:t xml:space="preserve"> will be determined prior to entering the trade.</w:t>
      </w:r>
    </w:p>
    <w:p w14:paraId="39CCC351" w14:textId="77777777" w:rsidR="007F6E63" w:rsidRDefault="007F6E63" w:rsidP="00A3436D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14:paraId="3FB3624A" w14:textId="23EE9AEF" w:rsidR="007037B0" w:rsidRPr="00A3436D" w:rsidRDefault="00BA4F32" w:rsidP="00A3436D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Boursa</w:t>
      </w:r>
      <w:r w:rsidR="00301F17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Investments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, Inc. DBA Boursa Investments,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is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registered with the SEC, 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member of FINRA (http://www.finra.org/</w:t>
      </w:r>
      <w:r w:rsidR="00196A44"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) &amp;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SIPC (</w:t>
      </w:r>
      <w:hyperlink r:id="rId11" w:tgtFrame="_blank" w:history="1">
        <w:r w:rsidRPr="001651D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s-MX"/>
          </w:rPr>
          <w:t>http://www.sipc.org/</w:t>
        </w:r>
      </w:hyperlink>
      <w:r w:rsidR="00196A44"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).  It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is subject to the rules a</w:t>
      </w:r>
      <w:r w:rsidR="009A27E8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nd regulations of such organizations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.  Before investing in any type of a security, please refer to available documents such as disclosures, term sheets, prospectuses, and others.  Investment products are not guaranteed by the FDIC and/or any governmental organization.  Past performance is not a guarantee of </w:t>
      </w:r>
      <w:r w:rsidR="00944069"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future </w:t>
      </w:r>
      <w:r w:rsidR="007C3C9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return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and investment products may lose </w:t>
      </w:r>
      <w:proofErr w:type="gramStart"/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value</w:t>
      </w:r>
      <w:proofErr w:type="gramEnd"/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including your principal.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  Any distribution, copying, or dissemination by an unauthorized agent is prohibited. Examples provided are intended to be used by the recipient(s) and for </w:t>
      </w:r>
      <w:r w:rsidR="004A2B4F"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informative</w:t>
      </w:r>
      <w:r w:rsidRPr="001651D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purposes only.  Our analysis for every client is based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on the Best Interest rule along with additional information provided by you as investor to determine suitability.</w:t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You may find additional information at </w:t>
      </w:r>
      <w:hyperlink r:id="rId12" w:history="1">
        <w:r w:rsidR="004A2B4F" w:rsidRPr="00212C7C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es-MX"/>
          </w:rPr>
          <w:t>http://boursaia.com/InvestorDisclosures.aspx</w:t>
        </w:r>
      </w:hyperlink>
      <w:r w:rsidR="008E2FB0">
        <w:rPr>
          <w:rStyle w:val="Hyperlink"/>
          <w:rFonts w:ascii="Times New Roman" w:eastAsia="Times New Roman" w:hAnsi="Times New Roman" w:cs="Times New Roman"/>
          <w:sz w:val="16"/>
          <w:szCs w:val="16"/>
          <w:lang w:eastAsia="es-MX"/>
        </w:rPr>
        <w:t xml:space="preserve">. </w:t>
      </w:r>
      <w:r w:rsidR="00301F17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If you have any questions and/or comments about this disclosure, please contact our office and/or your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Investment Professional.</w:t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ab/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ab/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ab/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ab/>
      </w:r>
      <w:r w:rsidR="00A3436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ab/>
        <w:t xml:space="preserve">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</w:t>
      </w:r>
      <w:r w:rsidR="008E2FB0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       </w:t>
      </w:r>
      <w:r w:rsidR="004A2B4F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2022</w:t>
      </w:r>
    </w:p>
    <w:sectPr w:rsidR="007037B0" w:rsidRPr="00A3436D" w:rsidSect="00BA4F32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6242" w14:textId="77777777" w:rsidR="005D4092" w:rsidRDefault="005D4092" w:rsidP="00A91E41">
      <w:pPr>
        <w:spacing w:after="0" w:line="240" w:lineRule="auto"/>
      </w:pPr>
      <w:r>
        <w:separator/>
      </w:r>
    </w:p>
  </w:endnote>
  <w:endnote w:type="continuationSeparator" w:id="0">
    <w:p w14:paraId="5B4AA28D" w14:textId="77777777" w:rsidR="005D4092" w:rsidRDefault="005D4092" w:rsidP="00A9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56F5" w14:textId="77777777" w:rsidR="00A3436D" w:rsidRDefault="00A3436D" w:rsidP="00A343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B22C" w14:textId="77777777" w:rsidR="00A91E41" w:rsidRDefault="00A3436D" w:rsidP="00A3436D">
    <w:pPr>
      <w:shd w:val="clear" w:color="auto" w:fill="FFFFFF"/>
      <w:spacing w:after="0" w:line="240" w:lineRule="auto"/>
      <w:jc w:val="center"/>
    </w:pPr>
    <w:r w:rsidRPr="00A3436D">
      <w:t xml:space="preserve">690 </w:t>
    </w:r>
    <w:proofErr w:type="spellStart"/>
    <w:r w:rsidRPr="00A3436D">
      <w:t>Otay</w:t>
    </w:r>
    <w:proofErr w:type="spellEnd"/>
    <w:r w:rsidRPr="00A3436D">
      <w:t xml:space="preserve"> Lakes Road Suite 275</w:t>
    </w:r>
    <w:r>
      <w:t xml:space="preserve">   </w:t>
    </w:r>
    <w:r w:rsidRPr="00A3436D">
      <w:t>Chula Vista, CA 91910</w:t>
    </w:r>
    <w:r>
      <w:t xml:space="preserve">    </w:t>
    </w:r>
    <w:r w:rsidR="00A91E41">
      <w:t>Phone: (619)756-6949   Fax: (619)756-6952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E31F" w14:textId="77777777" w:rsidR="005D4092" w:rsidRDefault="005D4092" w:rsidP="00A91E41">
      <w:pPr>
        <w:spacing w:after="0" w:line="240" w:lineRule="auto"/>
      </w:pPr>
      <w:r>
        <w:separator/>
      </w:r>
    </w:p>
  </w:footnote>
  <w:footnote w:type="continuationSeparator" w:id="0">
    <w:p w14:paraId="41F33B83" w14:textId="77777777" w:rsidR="005D4092" w:rsidRDefault="005D4092" w:rsidP="00A9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40B1" w14:textId="77777777" w:rsidR="00A91E41" w:rsidRDefault="00A91E41" w:rsidP="00A3436D">
    <w:pPr>
      <w:pStyle w:val="Header"/>
      <w:jc w:val="center"/>
    </w:pPr>
    <w:r>
      <w:rPr>
        <w:noProof/>
        <w:lang w:val="es-MX" w:eastAsia="es-MX"/>
      </w:rPr>
      <w:drawing>
        <wp:inline distT="0" distB="0" distL="0" distR="0" wp14:anchorId="388BD7CD" wp14:editId="67E2A48B">
          <wp:extent cx="1911927" cy="58189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27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A1F"/>
    <w:multiLevelType w:val="hybridMultilevel"/>
    <w:tmpl w:val="B1F207FC"/>
    <w:lvl w:ilvl="0" w:tplc="97307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187B"/>
    <w:multiLevelType w:val="hybridMultilevel"/>
    <w:tmpl w:val="D7E4F0AC"/>
    <w:lvl w:ilvl="0" w:tplc="35B496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404B"/>
    <w:multiLevelType w:val="hybridMultilevel"/>
    <w:tmpl w:val="BE74E46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0EEA"/>
    <w:multiLevelType w:val="hybridMultilevel"/>
    <w:tmpl w:val="BF0E200E"/>
    <w:lvl w:ilvl="0" w:tplc="741E3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80760">
    <w:abstractNumId w:val="2"/>
  </w:num>
  <w:num w:numId="2" w16cid:durableId="194003687">
    <w:abstractNumId w:val="3"/>
  </w:num>
  <w:num w:numId="3" w16cid:durableId="1839419611">
    <w:abstractNumId w:val="0"/>
  </w:num>
  <w:num w:numId="4" w16cid:durableId="156849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41"/>
    <w:rsid w:val="00051A0A"/>
    <w:rsid w:val="000629D5"/>
    <w:rsid w:val="000B4BD5"/>
    <w:rsid w:val="000C5AAD"/>
    <w:rsid w:val="001651D0"/>
    <w:rsid w:val="001764B0"/>
    <w:rsid w:val="00196A44"/>
    <w:rsid w:val="001A4E39"/>
    <w:rsid w:val="001A752A"/>
    <w:rsid w:val="001E5A6B"/>
    <w:rsid w:val="00212BD3"/>
    <w:rsid w:val="0021410F"/>
    <w:rsid w:val="00254187"/>
    <w:rsid w:val="00271573"/>
    <w:rsid w:val="002A7659"/>
    <w:rsid w:val="002E24B9"/>
    <w:rsid w:val="00301F17"/>
    <w:rsid w:val="003425FE"/>
    <w:rsid w:val="00395ED1"/>
    <w:rsid w:val="003E078B"/>
    <w:rsid w:val="003E516E"/>
    <w:rsid w:val="003F55FA"/>
    <w:rsid w:val="00412D39"/>
    <w:rsid w:val="00463832"/>
    <w:rsid w:val="00475575"/>
    <w:rsid w:val="004A1AEB"/>
    <w:rsid w:val="004A2B4F"/>
    <w:rsid w:val="004C496D"/>
    <w:rsid w:val="004C5EF6"/>
    <w:rsid w:val="00525A6E"/>
    <w:rsid w:val="00542497"/>
    <w:rsid w:val="0055246C"/>
    <w:rsid w:val="005868C3"/>
    <w:rsid w:val="005B29F9"/>
    <w:rsid w:val="005C26FA"/>
    <w:rsid w:val="005D296A"/>
    <w:rsid w:val="005D4092"/>
    <w:rsid w:val="005D7D13"/>
    <w:rsid w:val="00600B7F"/>
    <w:rsid w:val="00603860"/>
    <w:rsid w:val="006210A5"/>
    <w:rsid w:val="006936EA"/>
    <w:rsid w:val="006E1AD1"/>
    <w:rsid w:val="007037B0"/>
    <w:rsid w:val="00720E49"/>
    <w:rsid w:val="00727F84"/>
    <w:rsid w:val="00741A96"/>
    <w:rsid w:val="007C3C9F"/>
    <w:rsid w:val="007D1369"/>
    <w:rsid w:val="007D37EB"/>
    <w:rsid w:val="007F009D"/>
    <w:rsid w:val="007F6E63"/>
    <w:rsid w:val="00824366"/>
    <w:rsid w:val="008265AD"/>
    <w:rsid w:val="00835D23"/>
    <w:rsid w:val="008418A2"/>
    <w:rsid w:val="008E2FB0"/>
    <w:rsid w:val="00921CE6"/>
    <w:rsid w:val="0092597E"/>
    <w:rsid w:val="00940F77"/>
    <w:rsid w:val="00944069"/>
    <w:rsid w:val="00954E07"/>
    <w:rsid w:val="0095500A"/>
    <w:rsid w:val="009616E0"/>
    <w:rsid w:val="009A1274"/>
    <w:rsid w:val="009A27E8"/>
    <w:rsid w:val="009D0266"/>
    <w:rsid w:val="009E0F2F"/>
    <w:rsid w:val="009E3EF4"/>
    <w:rsid w:val="00A3436D"/>
    <w:rsid w:val="00A61EBD"/>
    <w:rsid w:val="00A80290"/>
    <w:rsid w:val="00A82B67"/>
    <w:rsid w:val="00A91E41"/>
    <w:rsid w:val="00B1448C"/>
    <w:rsid w:val="00B458EE"/>
    <w:rsid w:val="00B55F0C"/>
    <w:rsid w:val="00B67CAD"/>
    <w:rsid w:val="00BA4F32"/>
    <w:rsid w:val="00BD15D2"/>
    <w:rsid w:val="00BD1E3D"/>
    <w:rsid w:val="00C40B33"/>
    <w:rsid w:val="00C472E6"/>
    <w:rsid w:val="00C576E0"/>
    <w:rsid w:val="00C9503E"/>
    <w:rsid w:val="00D018B7"/>
    <w:rsid w:val="00D25BC6"/>
    <w:rsid w:val="00D260E1"/>
    <w:rsid w:val="00D34572"/>
    <w:rsid w:val="00D51526"/>
    <w:rsid w:val="00D85AD7"/>
    <w:rsid w:val="00DF1C23"/>
    <w:rsid w:val="00DF4543"/>
    <w:rsid w:val="00E144BB"/>
    <w:rsid w:val="00E14FF7"/>
    <w:rsid w:val="00E71817"/>
    <w:rsid w:val="00E760D9"/>
    <w:rsid w:val="00E77F21"/>
    <w:rsid w:val="00E86166"/>
    <w:rsid w:val="00E938D0"/>
    <w:rsid w:val="00EA271D"/>
    <w:rsid w:val="00EB16D1"/>
    <w:rsid w:val="00EB5D90"/>
    <w:rsid w:val="00EF11FE"/>
    <w:rsid w:val="00F118D7"/>
    <w:rsid w:val="00F172B1"/>
    <w:rsid w:val="00F34767"/>
    <w:rsid w:val="00F3674F"/>
    <w:rsid w:val="00F450FE"/>
    <w:rsid w:val="00F76503"/>
    <w:rsid w:val="00FA24EC"/>
    <w:rsid w:val="00FA2C9F"/>
    <w:rsid w:val="00FA461D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44B7B"/>
  <w15:docId w15:val="{8C523AB8-AADA-4438-AFD8-05CA1B60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41"/>
  </w:style>
  <w:style w:type="paragraph" w:styleId="Footer">
    <w:name w:val="footer"/>
    <w:basedOn w:val="Normal"/>
    <w:link w:val="FooterChar"/>
    <w:uiPriority w:val="99"/>
    <w:unhideWhenUsed/>
    <w:rsid w:val="00A91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41"/>
  </w:style>
  <w:style w:type="paragraph" w:styleId="BalloonText">
    <w:name w:val="Balloon Text"/>
    <w:basedOn w:val="Normal"/>
    <w:link w:val="BalloonTextChar"/>
    <w:uiPriority w:val="99"/>
    <w:semiHidden/>
    <w:unhideWhenUsed/>
    <w:rsid w:val="00A6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BA4F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7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oursaia.com/InvestorDisclosur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p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BFD1894EE2E4682C800BFC241D985" ma:contentTypeVersion="0" ma:contentTypeDescription="Create a new document." ma:contentTypeScope="" ma:versionID="561fa6e79225fd2564e828442fba24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CBC38-96A5-4899-B1D0-B0C317226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0B15C-7A42-4F41-9BC5-F85398314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7D35A-D6C8-47AF-B57E-958D18638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35B87-0238-49D2-A67E-54E52D7C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Jimi</dc:creator>
  <cp:lastModifiedBy>Alejandra Bache</cp:lastModifiedBy>
  <cp:revision>2</cp:revision>
  <cp:lastPrinted>2022-11-02T18:15:00Z</cp:lastPrinted>
  <dcterms:created xsi:type="dcterms:W3CDTF">2024-06-21T17:04:00Z</dcterms:created>
  <dcterms:modified xsi:type="dcterms:W3CDTF">2024-06-21T17:04:00Z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0x010100DBEBFD1894EE2E4682C800BFC241D985</vt:lpwstr>
  </property>
</Properties>
</file>